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Toc89282998"/>
      <w:bookmarkStart w:id="1" w:name="_Toc109488054"/>
      <w:bookmarkStart w:id="2" w:name="_Toc29632853"/>
      <w:bookmarkStart w:id="3" w:name="_Toc93503394"/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产品</w:t>
      </w:r>
      <w:r>
        <w:rPr>
          <w:sz w:val="44"/>
          <w:szCs w:val="44"/>
        </w:rPr>
        <w:t>“三化”设计实施指南</w:t>
      </w:r>
    </w:p>
    <w:p>
      <w:pPr>
        <w:pStyle w:val="5"/>
        <w:shd w:val="clear" w:color="auto" w:fill="F9FAFB"/>
        <w:spacing w:line="420" w:lineRule="atLeast"/>
        <w:rPr>
          <w:rFonts w:ascii="Segoe UI" w:hAnsi="Segoe UI" w:cs="Segoe UI"/>
          <w:color w:val="000000"/>
        </w:rPr>
      </w:pPr>
      <w:r>
        <w:rPr>
          <w:rStyle w:val="15"/>
          <w:rFonts w:ascii="Segoe UI" w:hAnsi="Segoe UI" w:cs="Segoe UI"/>
          <w:b/>
          <w:bCs/>
          <w:color w:val="000000"/>
        </w:rPr>
        <w:t>一、引言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在现代产品研发与制造领域，标准化、模块化、通用化（简称“三化”）设计是提升产品可靠性、可维护性及成本效益的核心方法论。通过系统化整合设计要素，“三化” 设计不仅能简化生产流程、降低研发与运维成本，更能显著提高产品的市场竞争力。本文结合行业实践经验，从设计原则、实施要点及防差错机制等维度，详细阐述产品 “三化” 设计的全流程实施路径，为研发团队提供可落地的操作指引。</w:t>
      </w:r>
    </w:p>
    <w:p>
      <w:pPr>
        <w:pStyle w:val="4"/>
        <w:shd w:val="clear" w:color="auto" w:fill="F9FAFB"/>
        <w:spacing w:line="420" w:lineRule="atLeast"/>
        <w:rPr>
          <w:rFonts w:ascii="Segoe UI" w:hAnsi="Segoe UI" w:eastAsia="宋体" w:cs="Segoe UI"/>
          <w:color w:val="000000"/>
          <w:sz w:val="27"/>
          <w:szCs w:val="27"/>
        </w:rPr>
      </w:pPr>
      <w:r>
        <w:rPr>
          <w:rStyle w:val="15"/>
          <w:rFonts w:hint="eastAsia" w:ascii="Segoe UI" w:hAnsi="Segoe UI" w:cs="Segoe UI"/>
          <w:b w:val="0"/>
          <w:bCs w:val="0"/>
          <w:color w:val="000000"/>
        </w:rPr>
        <w:t>二、</w:t>
      </w:r>
      <w:r>
        <w:t>正文</w:t>
      </w:r>
    </w:p>
    <w:bookmarkEnd w:id="0"/>
    <w:bookmarkEnd w:id="1"/>
    <w:bookmarkEnd w:id="2"/>
    <w:bookmarkEnd w:id="3"/>
    <w:p>
      <w:pPr>
        <w:pStyle w:val="3"/>
        <w:numPr>
          <w:ilvl w:val="0"/>
          <w:numId w:val="0"/>
        </w:numPr>
        <w:spacing w:before="312" w:beforeLines="100" w:after="156" w:afterLines="50" w:line="560" w:lineRule="exact"/>
        <w:ind w:right="0" w:rightChars="0"/>
      </w:pPr>
      <w:bookmarkStart w:id="4" w:name="_Toc109488055"/>
      <w:bookmarkStart w:id="5" w:name="_Toc89282999"/>
      <w:bookmarkStart w:id="6" w:name="_Toc93503395"/>
      <w:r>
        <w:t>1“三化”要求</w:t>
      </w:r>
      <w:bookmarkEnd w:id="4"/>
      <w:bookmarkEnd w:id="5"/>
      <w:bookmarkEnd w:id="6"/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采用标准化、模块化、通用化设计，具有可扩展功能。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设备操作、维护简便，易于对检查点进行检查和排除故障，同型号部件有良好的互换性；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所有接插件都有明确的标识符，采取有效措施防止错插错接；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在具有危险性的设备、装置上具有警示标志，发射机辐射功率期间采取声、光警示，在操作规程中应该对危险操作给出醒目的提示。</w:t>
      </w:r>
    </w:p>
    <w:p>
      <w:pPr>
        <w:pStyle w:val="3"/>
        <w:numPr>
          <w:ilvl w:val="0"/>
          <w:numId w:val="0"/>
        </w:numPr>
        <w:spacing w:before="312" w:beforeLines="100" w:after="156" w:afterLines="50" w:line="560" w:lineRule="exact"/>
        <w:ind w:right="0" w:rightChars="0"/>
      </w:pPr>
      <w:bookmarkStart w:id="7" w:name="_Toc158457391"/>
      <w:bookmarkStart w:id="8" w:name="_Toc109488056"/>
      <w:bookmarkStart w:id="9" w:name="_Toc89283000"/>
      <w:bookmarkStart w:id="10" w:name="_Toc93503396"/>
      <w:r>
        <w:t>2“三化”设计</w:t>
      </w:r>
      <w:bookmarkEnd w:id="7"/>
      <w:bookmarkEnd w:id="8"/>
      <w:bookmarkEnd w:id="9"/>
      <w:bookmarkEnd w:id="10"/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sz w:val="24"/>
          <w:szCs w:val="24"/>
        </w:rPr>
        <w:t>设备采用通用化、模块化、标准化设计方法，系统设计过程中，减少元器件、原材料的品种规格。同一品种不同规格的元器件、原材料，应在同一型号或同一系列的产品中选用。同一品种的元器件、原材料，选用同一生产厂家的产品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sz w:val="24"/>
          <w:szCs w:val="24"/>
        </w:rPr>
        <w:t>根据设备内部每一部件设计成可独立安装的模块，每一模块又由现场可更换单元组成，模块重量、体积适中，便于人员拆卸、搬运。这样，一方面因减少了各部分之间的连线而降低了失效率，另一方面易于对检查点进行检查和排除故障，便于现场的维修，使得现场的维修只要进行模块或现场可更换单元的更换，缩短拆装时间，简化维修程序和检修设备，降低对维修人员的要求，简便设备操作、维护，满足与维修性有关的安全性要求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sz w:val="24"/>
          <w:szCs w:val="24"/>
        </w:rPr>
        <w:t>采用</w:t>
      </w:r>
      <w:r>
        <w:rPr>
          <w:rFonts w:hint="eastAsia"/>
          <w:sz w:val="24"/>
          <w:szCs w:val="24"/>
        </w:rPr>
        <w:t>以往项目</w:t>
      </w:r>
      <w:r>
        <w:rPr>
          <w:sz w:val="24"/>
          <w:szCs w:val="24"/>
        </w:rPr>
        <w:t>上验证过的标准化部件、模块，减少设备分机涉及的品种、规格。标准化器件具有良好的互换性和必要的通用性，同型号部件有良好的互换性，能够</w:t>
      </w:r>
      <w:r>
        <w:rPr>
          <w:rFonts w:hint="eastAsia"/>
          <w:sz w:val="24"/>
          <w:szCs w:val="24"/>
        </w:rPr>
        <w:t>适应</w:t>
      </w:r>
      <w:r>
        <w:rPr>
          <w:sz w:val="24"/>
          <w:szCs w:val="24"/>
        </w:rPr>
        <w:t>抢修的需要，极大的提升设备可更换单元的互换性和通用性，降低设备维修成本。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(4)</w:t>
      </w:r>
      <w:r>
        <w:rPr>
          <w:sz w:val="24"/>
          <w:szCs w:val="24"/>
        </w:rPr>
        <w:t>结构、模块采用经过考验的标准件，其中印制电路板、功能模块能够在不打开机箱的情况下就快速拆装，具有很好的可拆卸维护性。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(5)</w:t>
      </w:r>
      <w:r>
        <w:rPr>
          <w:sz w:val="24"/>
          <w:szCs w:val="24"/>
        </w:rPr>
        <w:t>模块、电缆、印制板等的拆卸采用快卸机构，拆卸时可不用工具。</w:t>
      </w:r>
    </w:p>
    <w:p>
      <w:pPr>
        <w:pStyle w:val="3"/>
        <w:numPr>
          <w:ilvl w:val="0"/>
          <w:numId w:val="0"/>
        </w:numPr>
        <w:spacing w:before="312" w:beforeLines="100" w:after="156" w:afterLines="50" w:line="560" w:lineRule="exact"/>
        <w:ind w:right="0" w:rightChars="0"/>
      </w:pPr>
      <w:bookmarkStart w:id="11" w:name="_Toc89283001"/>
      <w:bookmarkStart w:id="12" w:name="_Toc93503397"/>
      <w:bookmarkStart w:id="13" w:name="_Toc109488057"/>
      <w:r>
        <w:rPr>
          <w:rFonts w:hint="eastAsia"/>
        </w:rPr>
        <w:t>3</w:t>
      </w:r>
      <w:r>
        <w:t xml:space="preserve"> 防差错及识别标记</w:t>
      </w:r>
      <w:bookmarkEnd w:id="11"/>
      <w:bookmarkEnd w:id="12"/>
      <w:bookmarkEnd w:id="13"/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(1)重点对印制板及电缆插座进行技术处理，对印制板插座，规范电源的种类，并定某一根插针对应特定的电源，这样即使在维修过程中插错印制板，也不会造成烧毁电路的故障；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(2)在印制板的插头和插座上都标有明显的插头插座号，避免插错印制板；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(3)对于电缆插座，设计时相邻插座的尺寸有明显的区别，避免插错电缆头；每一个电缆座内都有一个防插错销，保证插头和插座之间的唯一性，同时在插头和插座上都标有明显的插头插座号；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(4)在具有危险性的设备、装置上具有警示标志，发射机辐射功率期间采取警示，在操作规程中应该对危险操作给出醒目的提示。</w:t>
      </w:r>
    </w:p>
    <w:p>
      <w:pPr>
        <w:pStyle w:val="4"/>
        <w:shd w:val="clear" w:color="auto" w:fill="F9FAFB"/>
        <w:spacing w:line="420" w:lineRule="atLeast"/>
        <w:rPr>
          <w:rStyle w:val="15"/>
          <w:b w:val="0"/>
          <w:bCs w:val="0"/>
        </w:rPr>
      </w:pPr>
      <w:r>
        <w:rPr>
          <w:rStyle w:val="15"/>
          <w:rFonts w:ascii="Segoe UI" w:hAnsi="Segoe UI" w:cs="Segoe UI"/>
          <w:b w:val="0"/>
          <w:bCs w:val="0"/>
          <w:color w:val="000000"/>
        </w:rPr>
        <w:t>三、结论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三化”设计通过标准化的技术框架、模块化的结构拆分及通用化的部件选型，构建了一套科学高效的产品研发体系。其核心价值不仅体现在降低元器件种类、提升部件互换性等直接效益上，更通过简化操作维护流程、强化防差错能力及完善安全警示机制，全面提升了产品的全生命周期管理水平。</w:t>
      </w:r>
    </w:p>
    <w:p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732155" cy="356870"/>
          <wp:effectExtent l="0" t="0" r="10795" b="5080"/>
          <wp:docPr id="1" name="图片 1" descr="雷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雷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155" cy="35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西安雷远电子科技有限公司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31D2B"/>
    <w:multiLevelType w:val="multilevel"/>
    <w:tmpl w:val="6C331D2B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 w:ascii="黑体" w:hAnsi="黑体" w:eastAsia="黑体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default" w:ascii="黑体" w:hAnsi="黑体" w:eastAsia="黑体" w:cs="Times New Roman"/>
      </w:rPr>
    </w:lvl>
    <w:lvl w:ilvl="2" w:tentative="0">
      <w:start w:val="1"/>
      <w:numFmt w:val="decimal"/>
      <w:lvlText w:val="%1.%2.%3"/>
      <w:lvlJc w:val="left"/>
      <w:pPr>
        <w:ind w:left="709" w:hanging="709"/>
      </w:pPr>
      <w:rPr>
        <w:rFonts w:hint="eastAsia" w:ascii="黑体" w:hAnsi="黑体" w:eastAsia="黑体" w:cs="Times New Roman"/>
      </w:rPr>
    </w:lvl>
    <w:lvl w:ilvl="3" w:tentative="0">
      <w:start w:val="1"/>
      <w:numFmt w:val="decimal"/>
      <w:lvlText w:val="%1.%2.%3.%4"/>
      <w:lvlJc w:val="left"/>
      <w:pPr>
        <w:ind w:left="992" w:hanging="992"/>
      </w:pPr>
      <w:rPr>
        <w:rFonts w:hint="default" w:ascii="黑体" w:hAnsi="黑体" w:eastAsia="黑体" w:cs="Times New Roman"/>
        <w:b w:val="0"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92" w:hanging="992"/>
      </w:pPr>
      <w:rPr>
        <w:rFonts w:hint="default" w:ascii="黑体" w:hAnsi="黑体" w:eastAsia="黑体"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0E"/>
    <w:rsid w:val="000B24B3"/>
    <w:rsid w:val="001E0F55"/>
    <w:rsid w:val="00236952"/>
    <w:rsid w:val="0023796F"/>
    <w:rsid w:val="00247D57"/>
    <w:rsid w:val="002C33F1"/>
    <w:rsid w:val="00305643"/>
    <w:rsid w:val="003350C4"/>
    <w:rsid w:val="0038410E"/>
    <w:rsid w:val="0046105C"/>
    <w:rsid w:val="004B4A58"/>
    <w:rsid w:val="004D1267"/>
    <w:rsid w:val="005236F2"/>
    <w:rsid w:val="005A3A81"/>
    <w:rsid w:val="005C7FC8"/>
    <w:rsid w:val="005D4D64"/>
    <w:rsid w:val="005D5AA7"/>
    <w:rsid w:val="00695DFC"/>
    <w:rsid w:val="006F38C4"/>
    <w:rsid w:val="006F578A"/>
    <w:rsid w:val="007064AC"/>
    <w:rsid w:val="00715B86"/>
    <w:rsid w:val="007D3EE9"/>
    <w:rsid w:val="007F50E6"/>
    <w:rsid w:val="00816C5F"/>
    <w:rsid w:val="00824B56"/>
    <w:rsid w:val="00840F13"/>
    <w:rsid w:val="00843A6F"/>
    <w:rsid w:val="008A32A7"/>
    <w:rsid w:val="00A87F63"/>
    <w:rsid w:val="00AC1394"/>
    <w:rsid w:val="00B04BCF"/>
    <w:rsid w:val="00B5707E"/>
    <w:rsid w:val="00BD4174"/>
    <w:rsid w:val="00C9215B"/>
    <w:rsid w:val="00CC3D1D"/>
    <w:rsid w:val="00DB2AD0"/>
    <w:rsid w:val="00DB4AAC"/>
    <w:rsid w:val="00DC51F6"/>
    <w:rsid w:val="00E331D6"/>
    <w:rsid w:val="00E873DB"/>
    <w:rsid w:val="00ED5C0E"/>
    <w:rsid w:val="00F15863"/>
    <w:rsid w:val="00F62AEF"/>
    <w:rsid w:val="00F71FB8"/>
    <w:rsid w:val="00F72F48"/>
    <w:rsid w:val="176E3F49"/>
    <w:rsid w:val="21455C1A"/>
    <w:rsid w:val="66C72D52"/>
    <w:rsid w:val="727A2B5F"/>
    <w:rsid w:val="7EB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iPriority="0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jc w:val="both"/>
    </w:pPr>
    <w:rPr>
      <w:rFonts w:ascii="宋体" w:hAnsi="宋体" w:eastAsia="宋体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before="120" w:line="300" w:lineRule="auto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numPr>
        <w:ilvl w:val="1"/>
        <w:numId w:val="1"/>
      </w:numPr>
      <w:spacing w:before="120" w:after="120" w:line="300" w:lineRule="auto"/>
      <w:ind w:right="240" w:rightChars="100"/>
      <w:outlineLvl w:val="1"/>
    </w:pPr>
    <w:rPr>
      <w:rFonts w:ascii="黑体" w:hAnsi="黑体" w:eastAsia="黑体"/>
      <w:bCs/>
      <w:sz w:val="24"/>
      <w:szCs w:val="32"/>
    </w:rPr>
  </w:style>
  <w:style w:type="paragraph" w:styleId="4">
    <w:name w:val="heading 3"/>
    <w:basedOn w:val="1"/>
    <w:next w:val="1"/>
    <w:link w:val="18"/>
    <w:unhideWhenUsed/>
    <w:qFormat/>
    <w:uiPriority w:val="99"/>
    <w:pPr>
      <w:keepNext/>
      <w:keepLines/>
      <w:spacing w:before="156" w:beforeLines="50" w:line="360" w:lineRule="auto"/>
      <w:ind w:left="720" w:hanging="720"/>
      <w:outlineLvl w:val="2"/>
    </w:pPr>
    <w:rPr>
      <w:rFonts w:ascii="黑体" w:hAnsi="黑体" w:eastAsia="黑体"/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156" w:beforeLines="50" w:line="360" w:lineRule="auto"/>
      <w:ind w:left="864" w:hanging="864"/>
      <w:outlineLvl w:val="3"/>
    </w:pPr>
    <w:rPr>
      <w:rFonts w:ascii="黑体" w:hAnsi="黑体" w:eastAsia="黑体" w:cstheme="majorBidi"/>
      <w:b/>
      <w:bCs/>
      <w:sz w:val="32"/>
      <w:szCs w:val="32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156" w:beforeLines="50" w:line="360" w:lineRule="auto"/>
      <w:ind w:left="1009" w:hanging="1009"/>
      <w:outlineLvl w:val="4"/>
    </w:pPr>
    <w:rPr>
      <w:rFonts w:ascii="黑体" w:hAnsi="黑体" w:eastAsia="黑体"/>
      <w:b/>
      <w:bCs/>
      <w:sz w:val="32"/>
      <w:szCs w:val="32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156" w:beforeLines="50" w:line="360" w:lineRule="auto"/>
      <w:ind w:left="1151" w:hanging="1151"/>
      <w:outlineLvl w:val="5"/>
    </w:pPr>
    <w:rPr>
      <w:rFonts w:ascii="黑体" w:hAnsi="黑体" w:eastAsia="黑体" w:cstheme="majorBidi"/>
      <w:b/>
      <w:bCs/>
      <w:sz w:val="32"/>
      <w:szCs w:val="32"/>
    </w:rPr>
  </w:style>
  <w:style w:type="paragraph" w:styleId="8">
    <w:name w:val="heading 7"/>
    <w:basedOn w:val="1"/>
    <w:next w:val="1"/>
    <w:link w:val="22"/>
    <w:unhideWhenUsed/>
    <w:qFormat/>
    <w:uiPriority w:val="0"/>
    <w:pPr>
      <w:keepNext/>
      <w:keepLines/>
      <w:spacing w:before="240" w:after="64" w:line="320" w:lineRule="atLeast"/>
      <w:ind w:left="1296" w:hanging="1296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3"/>
    <w:unhideWhenUsed/>
    <w:qFormat/>
    <w:uiPriority w:val="0"/>
    <w:pPr>
      <w:keepNext/>
      <w:keepLines/>
      <w:spacing w:before="240" w:after="64" w:line="320" w:lineRule="atLeast"/>
      <w:ind w:left="1440" w:hanging="1440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4"/>
    <w:unhideWhenUsed/>
    <w:qFormat/>
    <w:uiPriority w:val="9"/>
    <w:pPr>
      <w:keepNext/>
      <w:keepLines/>
      <w:spacing w:before="240" w:after="64" w:line="320" w:lineRule="atLeast"/>
      <w:ind w:left="1584" w:hanging="1584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1 字符"/>
    <w:link w:val="2"/>
    <w:qFormat/>
    <w:uiPriority w:val="0"/>
    <w:rPr>
      <w:rFonts w:ascii="黑体" w:hAnsi="黑体" w:eastAsia="黑体"/>
      <w:bCs/>
      <w:kern w:val="44"/>
      <w:sz w:val="28"/>
      <w:szCs w:val="44"/>
    </w:rPr>
  </w:style>
  <w:style w:type="character" w:customStyle="1" w:styleId="17">
    <w:name w:val="标题 2 字符"/>
    <w:link w:val="3"/>
    <w:qFormat/>
    <w:uiPriority w:val="99"/>
    <w:rPr>
      <w:rFonts w:ascii="黑体" w:hAnsi="黑体" w:eastAsia="黑体"/>
      <w:bCs/>
      <w:sz w:val="24"/>
      <w:szCs w:val="32"/>
    </w:rPr>
  </w:style>
  <w:style w:type="character" w:customStyle="1" w:styleId="18">
    <w:name w:val="标题 3 字符"/>
    <w:basedOn w:val="14"/>
    <w:link w:val="4"/>
    <w:qFormat/>
    <w:uiPriority w:val="99"/>
    <w:rPr>
      <w:rFonts w:ascii="黑体" w:hAnsi="黑体" w:eastAsia="黑体"/>
      <w:b/>
      <w:bCs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="黑体" w:hAnsi="黑体" w:eastAsia="黑体" w:cstheme="majorBidi"/>
      <w:b/>
      <w:bCs/>
      <w:sz w:val="32"/>
      <w:szCs w:val="32"/>
    </w:rPr>
  </w:style>
  <w:style w:type="character" w:customStyle="1" w:styleId="20">
    <w:name w:val="标题 5 字符"/>
    <w:basedOn w:val="14"/>
    <w:link w:val="6"/>
    <w:qFormat/>
    <w:uiPriority w:val="9"/>
    <w:rPr>
      <w:rFonts w:ascii="黑体" w:hAnsi="黑体" w:eastAsia="黑体"/>
      <w:b/>
      <w:bCs/>
      <w:sz w:val="32"/>
      <w:szCs w:val="32"/>
    </w:rPr>
  </w:style>
  <w:style w:type="character" w:customStyle="1" w:styleId="21">
    <w:name w:val="标题 6 字符"/>
    <w:basedOn w:val="14"/>
    <w:link w:val="7"/>
    <w:qFormat/>
    <w:uiPriority w:val="9"/>
    <w:rPr>
      <w:rFonts w:ascii="黑体" w:hAnsi="黑体" w:eastAsia="黑体" w:cstheme="majorBidi"/>
      <w:b/>
      <w:bCs/>
      <w:sz w:val="32"/>
      <w:szCs w:val="32"/>
    </w:rPr>
  </w:style>
  <w:style w:type="character" w:customStyle="1" w:styleId="22">
    <w:name w:val="标题 7 字符"/>
    <w:basedOn w:val="14"/>
    <w:link w:val="8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23">
    <w:name w:val="标题 8 字符"/>
    <w:basedOn w:val="14"/>
    <w:link w:val="9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24">
    <w:name w:val="标题 9 字符"/>
    <w:basedOn w:val="1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5">
    <w:name w:val="页眉 字符"/>
    <w:basedOn w:val="14"/>
    <w:link w:val="12"/>
    <w:qFormat/>
    <w:uiPriority w:val="99"/>
    <w:rPr>
      <w:rFonts w:ascii="宋体" w:hAnsi="宋体" w:eastAsia="宋体"/>
      <w:sz w:val="18"/>
      <w:szCs w:val="18"/>
    </w:rPr>
  </w:style>
  <w:style w:type="character" w:customStyle="1" w:styleId="26">
    <w:name w:val="页脚 字符"/>
    <w:basedOn w:val="14"/>
    <w:link w:val="11"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1104</Characters>
  <Lines>9</Lines>
  <Paragraphs>2</Paragraphs>
  <TotalTime>5</TotalTime>
  <ScaleCrop>false</ScaleCrop>
  <LinksUpToDate>false</LinksUpToDate>
  <CharactersWithSpaces>1295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2025-06-02T13:27:00Z</dcterms:created>
  <dc:creator>Administrator</dc:creator>
  <cp:lastModifiedBy>Administrator</cp:lastModifiedBy>
  <dcterms:modified xsi:type="dcterms:W3CDTF">2025-06-03T07:52:11Z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